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6C0FAE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6C0FAE" w:rsidRPr="00D92C71">
        <w:rPr>
          <w:b/>
          <w:sz w:val="14"/>
          <w:szCs w:val="14"/>
          <w:u w:val="single"/>
        </w:rPr>
      </w:r>
      <w:r w:rsidR="006C0FAE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6C0FAE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6C0FAE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6C0FAE" w:rsidRPr="00D92C71">
        <w:rPr>
          <w:b/>
          <w:sz w:val="14"/>
          <w:szCs w:val="14"/>
          <w:u w:val="single"/>
        </w:rPr>
      </w:r>
      <w:r w:rsidR="006C0FAE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6C0FAE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6C0FAE" w:rsidRPr="00D92C71">
        <w:rPr>
          <w:b/>
          <w:sz w:val="14"/>
          <w:szCs w:val="1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рта"/>
              <w:listEntry w:val="апреля"/>
              <w:listEntry w:val="мая 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                    "/>
            </w:ddList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FORMDROPDOWN </w:instrText>
      </w:r>
      <w:r w:rsidR="006C0FAE">
        <w:rPr>
          <w:b/>
          <w:sz w:val="14"/>
          <w:szCs w:val="14"/>
          <w:u w:val="single"/>
        </w:rPr>
      </w:r>
      <w:r w:rsidR="006C0FAE">
        <w:rPr>
          <w:b/>
          <w:sz w:val="14"/>
          <w:szCs w:val="14"/>
          <w:u w:val="single"/>
        </w:rPr>
        <w:fldChar w:fldCharType="separate"/>
      </w:r>
      <w:r w:rsidR="006C0FAE"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787B5D">
        <w:rPr>
          <w:b/>
          <w:bCs/>
          <w:sz w:val="14"/>
          <w:szCs w:val="14"/>
        </w:rPr>
        <w:t>20</w:t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787B5D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б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Владимировича, действующего на основании доверенности от 22.08.2016 года  №  201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и </w:t>
      </w:r>
      <w:r w:rsidR="006C0FAE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rFonts w:ascii="Times New Roman" w:hAnsi="Times New Roman" w:cs="Times New Roman"/>
          <w:b/>
          <w:sz w:val="14"/>
          <w:szCs w:val="14"/>
          <w:u w:val="single"/>
        </w:rPr>
      </w:r>
      <w:r w:rsidR="006C0FAE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6C0FAE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0" w:name="Par36"/>
      <w:bookmarkEnd w:id="0"/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по направлению подготовки: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092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6C0FAE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1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6C0FAE">
        <w:rPr>
          <w:b/>
          <w:sz w:val="14"/>
          <w:szCs w:val="14"/>
          <w:u w:val="single"/>
        </w:rPr>
      </w:r>
      <w:r w:rsidR="006C0FAE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6C0FAE">
        <w:rPr>
          <w:b/>
          <w:sz w:val="14"/>
          <w:szCs w:val="14"/>
          <w:u w:val="single"/>
        </w:rPr>
        <w:fldChar w:fldCharType="end"/>
      </w:r>
      <w:bookmarkEnd w:id="1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0550DE">
        <w:rPr>
          <w:sz w:val="14"/>
          <w:szCs w:val="14"/>
        </w:rPr>
        <w:t>Заказчику,</w:t>
      </w:r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</w:t>
      </w:r>
      <w:r w:rsidR="006A7E87" w:rsidRPr="003A46B5">
        <w:rPr>
          <w:b/>
          <w:bCs/>
          <w:sz w:val="14"/>
          <w:szCs w:val="14"/>
        </w:rPr>
        <w:t xml:space="preserve">. </w:t>
      </w:r>
      <w:r w:rsidR="00120FC1">
        <w:rPr>
          <w:b/>
          <w:bCs/>
          <w:sz w:val="14"/>
          <w:szCs w:val="14"/>
        </w:rPr>
        <w:t>Взаимодействие</w:t>
      </w:r>
      <w:r w:rsidR="006A7E87" w:rsidRPr="003A46B5">
        <w:rPr>
          <w:b/>
          <w:bCs/>
          <w:sz w:val="14"/>
          <w:szCs w:val="14"/>
        </w:rPr>
        <w:t xml:space="preserve">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</w:t>
      </w:r>
      <w:proofErr w:type="gramStart"/>
      <w:r w:rsidR="00AE2A1D">
        <w:rPr>
          <w:bCs/>
          <w:sz w:val="14"/>
          <w:szCs w:val="14"/>
        </w:rPr>
        <w:t>обучающихся</w:t>
      </w:r>
      <w:proofErr w:type="gramEnd"/>
      <w:r w:rsidR="00AE2A1D">
        <w:rPr>
          <w:bCs/>
          <w:sz w:val="14"/>
          <w:szCs w:val="14"/>
        </w:rPr>
        <w:t xml:space="preserve">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E92373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III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bookmarkStart w:id="2" w:name="_GoBack"/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bookmarkEnd w:id="2"/>
      <w:r w:rsidR="006C0FAE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6C0FAE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C0FAE" w:rsidRPr="00EE01B6">
        <w:rPr>
          <w:b/>
          <w:sz w:val="14"/>
          <w:szCs w:val="14"/>
          <w:u w:val="single"/>
        </w:rPr>
      </w:r>
      <w:r w:rsidR="006C0FAE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C0FAE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4C6A40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4C6A40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4C6A40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4C6A40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4C6A40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4C6A40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E92373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IV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4C6A40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9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до 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135"/>
      <w:bookmarkEnd w:id="3"/>
    </w:p>
    <w:p w:rsidR="006A7E87" w:rsidRPr="003A46B5" w:rsidRDefault="00E92373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VIII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6C0FAE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6B5"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C0FAE" w:rsidRPr="003A46B5">
              <w:rPr>
                <w:sz w:val="14"/>
                <w:szCs w:val="14"/>
                <w:u w:val="single"/>
              </w:rPr>
            </w:r>
            <w:r w:rsidR="006C0FAE" w:rsidRPr="003A46B5">
              <w:rPr>
                <w:sz w:val="14"/>
                <w:szCs w:val="14"/>
                <w:u w:val="single"/>
              </w:rPr>
              <w:fldChar w:fldCharType="separate"/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6C0FAE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EC59A6" w:rsidRPr="003A46B5" w:rsidRDefault="00EC59A6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EC59A6" w:rsidRPr="003A46B5" w:rsidRDefault="00EC59A6" w:rsidP="00EC59A6">
            <w:pPr>
              <w:pStyle w:val="a5"/>
              <w:jc w:val="right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______________</w:t>
            </w:r>
            <w:r w:rsidR="00383B11">
              <w:rPr>
                <w:sz w:val="14"/>
                <w:szCs w:val="14"/>
              </w:rPr>
              <w:t>/</w:t>
            </w:r>
            <w:r w:rsidRPr="003A46B5">
              <w:rPr>
                <w:sz w:val="14"/>
                <w:szCs w:val="14"/>
              </w:rPr>
              <w:t>В.В. Рождественский</w:t>
            </w:r>
            <w:r w:rsidR="00383B11">
              <w:rPr>
                <w:sz w:val="14"/>
                <w:szCs w:val="14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EC59A6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="00074613" w:rsidRPr="00CD2BE8">
              <w:rPr>
                <w:szCs w:val="14"/>
              </w:rPr>
              <w:t xml:space="preserve">  </w:t>
            </w:r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серия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</w:p>
          <w:p w:rsidR="00EC59A6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 xml:space="preserve">омашний тел.: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0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C13A1C" w:rsidRDefault="002B36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r w:rsidR="006C0FAE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A1C"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6C0FAE" w:rsidRPr="00897E43">
              <w:rPr>
                <w:sz w:val="14"/>
                <w:szCs w:val="14"/>
                <w:u w:val="single"/>
              </w:rPr>
            </w:r>
            <w:r w:rsidR="006C0FAE" w:rsidRPr="00897E43">
              <w:rPr>
                <w:sz w:val="14"/>
                <w:szCs w:val="14"/>
                <w:u w:val="single"/>
              </w:rPr>
              <w:fldChar w:fldCharType="separate"/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6C0FAE" w:rsidRPr="00897E43">
              <w:rPr>
                <w:sz w:val="14"/>
                <w:szCs w:val="14"/>
                <w:u w:val="single"/>
              </w:rPr>
              <w:fldChar w:fldCharType="end"/>
            </w:r>
            <w:r w:rsidR="00C13A1C" w:rsidRPr="00897E43">
              <w:rPr>
                <w:sz w:val="14"/>
                <w:szCs w:val="14"/>
              </w:rPr>
              <w:t>/</w:t>
            </w:r>
          </w:p>
          <w:p w:rsidR="007830E1" w:rsidRPr="00897E43" w:rsidRDefault="007830E1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763D9" w:rsidRPr="00897E43" w:rsidRDefault="000472BE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 w:rsidR="002B3640">
              <w:rPr>
                <w:sz w:val="14"/>
                <w:szCs w:val="14"/>
              </w:rPr>
              <w:t>ми</w:t>
            </w:r>
            <w:r w:rsidR="00AE2A1D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пожарной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Pr="00897E43">
              <w:rPr>
                <w:sz w:val="14"/>
                <w:szCs w:val="14"/>
              </w:rPr>
              <w:t>а)</w:t>
            </w:r>
            <w:r w:rsidR="004E6921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и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Default="00EC59A6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r w:rsidR="006C0FAE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C0FAE" w:rsidRPr="00921B74">
              <w:rPr>
                <w:szCs w:val="14"/>
                <w:u w:val="single"/>
              </w:rPr>
            </w:r>
            <w:r w:rsidR="006C0FAE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C0FAE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  <w:p w:rsidR="007830E1" w:rsidRPr="00921B74" w:rsidRDefault="007830E1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6C0FAE" w:rsidRPr="007830E1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7830E1">
        <w:rPr>
          <w:sz w:val="14"/>
          <w:szCs w:val="14"/>
          <w:u w:val="single"/>
        </w:rPr>
        <w:instrText xml:space="preserve"> FORMTEXT </w:instrText>
      </w:r>
      <w:r w:rsidR="006C0FAE" w:rsidRPr="007830E1">
        <w:rPr>
          <w:sz w:val="14"/>
          <w:szCs w:val="14"/>
          <w:u w:val="single"/>
        </w:rPr>
      </w:r>
      <w:r w:rsidR="006C0FAE" w:rsidRPr="007830E1">
        <w:rPr>
          <w:sz w:val="14"/>
          <w:szCs w:val="14"/>
          <w:u w:val="single"/>
        </w:rPr>
        <w:fldChar w:fldCharType="separate"/>
      </w:r>
      <w:r w:rsidR="00FA73AA" w:rsidRPr="007830E1">
        <w:rPr>
          <w:noProof/>
          <w:sz w:val="14"/>
          <w:szCs w:val="14"/>
          <w:u w:val="single"/>
        </w:rPr>
        <w:t> </w:t>
      </w:r>
      <w:r w:rsidR="00FA73AA" w:rsidRPr="007830E1">
        <w:rPr>
          <w:noProof/>
          <w:sz w:val="14"/>
          <w:szCs w:val="14"/>
          <w:u w:val="single"/>
        </w:rPr>
        <w:t> </w:t>
      </w:r>
      <w:r w:rsidR="00FA73AA" w:rsidRPr="007830E1">
        <w:rPr>
          <w:noProof/>
          <w:sz w:val="14"/>
          <w:szCs w:val="14"/>
          <w:u w:val="single"/>
        </w:rPr>
        <w:t> </w:t>
      </w:r>
      <w:r w:rsidR="00FA73AA" w:rsidRPr="007830E1">
        <w:rPr>
          <w:noProof/>
          <w:sz w:val="14"/>
          <w:szCs w:val="14"/>
          <w:u w:val="single"/>
        </w:rPr>
        <w:t> </w:t>
      </w:r>
      <w:r w:rsidR="00FA73AA" w:rsidRPr="007830E1">
        <w:rPr>
          <w:noProof/>
          <w:sz w:val="14"/>
          <w:szCs w:val="14"/>
          <w:u w:val="single"/>
        </w:rPr>
        <w:t> </w:t>
      </w:r>
      <w:r w:rsidR="006C0FAE" w:rsidRPr="007830E1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FA73AA">
      <w:footerReference w:type="even" r:id="rId11"/>
      <w:footerReference w:type="default" r:id="rId12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B2" w:rsidRDefault="00B074B2">
      <w:r>
        <w:separator/>
      </w:r>
    </w:p>
  </w:endnote>
  <w:endnote w:type="continuationSeparator" w:id="0">
    <w:p w:rsidR="00B074B2" w:rsidRDefault="00B0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C0FAE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B2" w:rsidRDefault="00B074B2">
      <w:r>
        <w:separator/>
      </w:r>
    </w:p>
  </w:footnote>
  <w:footnote w:type="continuationSeparator" w:id="0">
    <w:p w:rsidR="00B074B2" w:rsidRDefault="00B0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rlvik2GNp+/WFGbex6iObc7U+EoOercYi7jAsuEpBc/dAeCJEjEB1elDV9rW5Bh7ZDIVL/KHk6sO&#10;+xCyrt85Gw==" w:salt="Qu7OqaPtQegwbWk12SdO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3C3D"/>
    <w:rsid w:val="000472BE"/>
    <w:rsid w:val="000503E0"/>
    <w:rsid w:val="000550DE"/>
    <w:rsid w:val="0005607F"/>
    <w:rsid w:val="00060DA0"/>
    <w:rsid w:val="000707C6"/>
    <w:rsid w:val="00074613"/>
    <w:rsid w:val="00091B96"/>
    <w:rsid w:val="000943BA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E48"/>
    <w:rsid w:val="000E4E11"/>
    <w:rsid w:val="000E76BB"/>
    <w:rsid w:val="000F1B50"/>
    <w:rsid w:val="000F23EE"/>
    <w:rsid w:val="00100581"/>
    <w:rsid w:val="001117DB"/>
    <w:rsid w:val="001152B1"/>
    <w:rsid w:val="00120FC1"/>
    <w:rsid w:val="00121BD3"/>
    <w:rsid w:val="00123A2C"/>
    <w:rsid w:val="00143EEC"/>
    <w:rsid w:val="00150B69"/>
    <w:rsid w:val="0016028D"/>
    <w:rsid w:val="00161452"/>
    <w:rsid w:val="00180C4C"/>
    <w:rsid w:val="0018153E"/>
    <w:rsid w:val="00187F11"/>
    <w:rsid w:val="001A10F7"/>
    <w:rsid w:val="001A2CCF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7A0F"/>
    <w:rsid w:val="001F13CB"/>
    <w:rsid w:val="001F2050"/>
    <w:rsid w:val="001F2206"/>
    <w:rsid w:val="001F4B2C"/>
    <w:rsid w:val="002065FF"/>
    <w:rsid w:val="0021357D"/>
    <w:rsid w:val="002231C2"/>
    <w:rsid w:val="0022583E"/>
    <w:rsid w:val="00227AB4"/>
    <w:rsid w:val="00236751"/>
    <w:rsid w:val="00242C44"/>
    <w:rsid w:val="002475DB"/>
    <w:rsid w:val="002513F9"/>
    <w:rsid w:val="002556BC"/>
    <w:rsid w:val="00271916"/>
    <w:rsid w:val="00277353"/>
    <w:rsid w:val="00287D1B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648A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413DD"/>
    <w:rsid w:val="00345931"/>
    <w:rsid w:val="00365EDD"/>
    <w:rsid w:val="003748B1"/>
    <w:rsid w:val="00383B11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07F60"/>
    <w:rsid w:val="00411C75"/>
    <w:rsid w:val="0041391E"/>
    <w:rsid w:val="00414C37"/>
    <w:rsid w:val="0041670E"/>
    <w:rsid w:val="00417114"/>
    <w:rsid w:val="00423E79"/>
    <w:rsid w:val="004309E0"/>
    <w:rsid w:val="00436D9C"/>
    <w:rsid w:val="00451FDD"/>
    <w:rsid w:val="004538BE"/>
    <w:rsid w:val="004600E8"/>
    <w:rsid w:val="00460C69"/>
    <w:rsid w:val="00463A4C"/>
    <w:rsid w:val="004649F1"/>
    <w:rsid w:val="00467189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C6A4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265A3"/>
    <w:rsid w:val="00526652"/>
    <w:rsid w:val="0054062B"/>
    <w:rsid w:val="00546737"/>
    <w:rsid w:val="00561CC7"/>
    <w:rsid w:val="00570FAA"/>
    <w:rsid w:val="0057320A"/>
    <w:rsid w:val="005759E0"/>
    <w:rsid w:val="00575F00"/>
    <w:rsid w:val="005815BC"/>
    <w:rsid w:val="005960BE"/>
    <w:rsid w:val="005A33A3"/>
    <w:rsid w:val="005A7C8C"/>
    <w:rsid w:val="005D4190"/>
    <w:rsid w:val="005D47E8"/>
    <w:rsid w:val="005E33CC"/>
    <w:rsid w:val="005E7F2D"/>
    <w:rsid w:val="005F1B77"/>
    <w:rsid w:val="005F4491"/>
    <w:rsid w:val="005F50A7"/>
    <w:rsid w:val="005F6A85"/>
    <w:rsid w:val="00603109"/>
    <w:rsid w:val="00603149"/>
    <w:rsid w:val="0062605F"/>
    <w:rsid w:val="00626092"/>
    <w:rsid w:val="0063638B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445D"/>
    <w:rsid w:val="006723AA"/>
    <w:rsid w:val="0068363C"/>
    <w:rsid w:val="00683976"/>
    <w:rsid w:val="00684E17"/>
    <w:rsid w:val="006A0B80"/>
    <w:rsid w:val="006A7E87"/>
    <w:rsid w:val="006B1048"/>
    <w:rsid w:val="006B111D"/>
    <w:rsid w:val="006C0898"/>
    <w:rsid w:val="006C0BCE"/>
    <w:rsid w:val="006C0FAE"/>
    <w:rsid w:val="006C3853"/>
    <w:rsid w:val="006D160D"/>
    <w:rsid w:val="006D1A92"/>
    <w:rsid w:val="006D6A51"/>
    <w:rsid w:val="006D7A90"/>
    <w:rsid w:val="006E20B7"/>
    <w:rsid w:val="006E391E"/>
    <w:rsid w:val="006E6442"/>
    <w:rsid w:val="00706B3E"/>
    <w:rsid w:val="0071552B"/>
    <w:rsid w:val="007243A4"/>
    <w:rsid w:val="00724E33"/>
    <w:rsid w:val="007344FC"/>
    <w:rsid w:val="00745F01"/>
    <w:rsid w:val="00752913"/>
    <w:rsid w:val="00754A75"/>
    <w:rsid w:val="00760A58"/>
    <w:rsid w:val="00765782"/>
    <w:rsid w:val="00770412"/>
    <w:rsid w:val="007830E1"/>
    <w:rsid w:val="00787B5D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723B"/>
    <w:rsid w:val="008700A3"/>
    <w:rsid w:val="00871559"/>
    <w:rsid w:val="00877F77"/>
    <w:rsid w:val="00883D3E"/>
    <w:rsid w:val="00887077"/>
    <w:rsid w:val="00891B1F"/>
    <w:rsid w:val="00897E43"/>
    <w:rsid w:val="008A3E7A"/>
    <w:rsid w:val="008A73B5"/>
    <w:rsid w:val="008B26FE"/>
    <w:rsid w:val="008B5D54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72DA4"/>
    <w:rsid w:val="009866B8"/>
    <w:rsid w:val="00996E0D"/>
    <w:rsid w:val="009A2429"/>
    <w:rsid w:val="009B6052"/>
    <w:rsid w:val="009B7F9C"/>
    <w:rsid w:val="009C14C7"/>
    <w:rsid w:val="009C306B"/>
    <w:rsid w:val="009C30F3"/>
    <w:rsid w:val="009C35F5"/>
    <w:rsid w:val="009C620C"/>
    <w:rsid w:val="009D32F3"/>
    <w:rsid w:val="009D7133"/>
    <w:rsid w:val="00A1298E"/>
    <w:rsid w:val="00A12A55"/>
    <w:rsid w:val="00A155D7"/>
    <w:rsid w:val="00A166D2"/>
    <w:rsid w:val="00A167D6"/>
    <w:rsid w:val="00A201DD"/>
    <w:rsid w:val="00A222BC"/>
    <w:rsid w:val="00A223A2"/>
    <w:rsid w:val="00A2448B"/>
    <w:rsid w:val="00A30295"/>
    <w:rsid w:val="00A47E8E"/>
    <w:rsid w:val="00A57274"/>
    <w:rsid w:val="00A5765C"/>
    <w:rsid w:val="00A62143"/>
    <w:rsid w:val="00A666E0"/>
    <w:rsid w:val="00A72537"/>
    <w:rsid w:val="00A75609"/>
    <w:rsid w:val="00A91ED4"/>
    <w:rsid w:val="00A92A7E"/>
    <w:rsid w:val="00A97FED"/>
    <w:rsid w:val="00AA0697"/>
    <w:rsid w:val="00AA77BC"/>
    <w:rsid w:val="00AB335C"/>
    <w:rsid w:val="00AC073F"/>
    <w:rsid w:val="00AC737B"/>
    <w:rsid w:val="00AD1BF9"/>
    <w:rsid w:val="00AE0ECE"/>
    <w:rsid w:val="00AE2A1D"/>
    <w:rsid w:val="00AE41A2"/>
    <w:rsid w:val="00AF0121"/>
    <w:rsid w:val="00AF2E4B"/>
    <w:rsid w:val="00B0276D"/>
    <w:rsid w:val="00B02BF8"/>
    <w:rsid w:val="00B074B2"/>
    <w:rsid w:val="00B15B03"/>
    <w:rsid w:val="00B167F1"/>
    <w:rsid w:val="00B225F6"/>
    <w:rsid w:val="00B368C4"/>
    <w:rsid w:val="00B369C1"/>
    <w:rsid w:val="00B41B7B"/>
    <w:rsid w:val="00B442B6"/>
    <w:rsid w:val="00B46A45"/>
    <w:rsid w:val="00B47544"/>
    <w:rsid w:val="00B47E04"/>
    <w:rsid w:val="00B60087"/>
    <w:rsid w:val="00B752B2"/>
    <w:rsid w:val="00B82116"/>
    <w:rsid w:val="00B83A8A"/>
    <w:rsid w:val="00B84D64"/>
    <w:rsid w:val="00B96DE3"/>
    <w:rsid w:val="00B96F16"/>
    <w:rsid w:val="00BB1A4C"/>
    <w:rsid w:val="00BB666F"/>
    <w:rsid w:val="00BC5BF9"/>
    <w:rsid w:val="00BD7849"/>
    <w:rsid w:val="00BE03D8"/>
    <w:rsid w:val="00BE6D0A"/>
    <w:rsid w:val="00BE6F51"/>
    <w:rsid w:val="00BF4D78"/>
    <w:rsid w:val="00C00408"/>
    <w:rsid w:val="00C0381A"/>
    <w:rsid w:val="00C13A1C"/>
    <w:rsid w:val="00C16AF6"/>
    <w:rsid w:val="00C207D3"/>
    <w:rsid w:val="00C244F3"/>
    <w:rsid w:val="00C26282"/>
    <w:rsid w:val="00C35F05"/>
    <w:rsid w:val="00C3653A"/>
    <w:rsid w:val="00C36C5B"/>
    <w:rsid w:val="00C45715"/>
    <w:rsid w:val="00C45AC3"/>
    <w:rsid w:val="00C53809"/>
    <w:rsid w:val="00C53A35"/>
    <w:rsid w:val="00C608D4"/>
    <w:rsid w:val="00C6649E"/>
    <w:rsid w:val="00C719BF"/>
    <w:rsid w:val="00C835AB"/>
    <w:rsid w:val="00C83BE7"/>
    <w:rsid w:val="00C843A9"/>
    <w:rsid w:val="00C85A9B"/>
    <w:rsid w:val="00C94C16"/>
    <w:rsid w:val="00C9622C"/>
    <w:rsid w:val="00C970A4"/>
    <w:rsid w:val="00CB18B0"/>
    <w:rsid w:val="00CB7ACD"/>
    <w:rsid w:val="00CD215F"/>
    <w:rsid w:val="00CD2BE8"/>
    <w:rsid w:val="00CE195C"/>
    <w:rsid w:val="00CF2AFA"/>
    <w:rsid w:val="00CF4939"/>
    <w:rsid w:val="00CF5AA5"/>
    <w:rsid w:val="00D02529"/>
    <w:rsid w:val="00D26BB1"/>
    <w:rsid w:val="00D33F57"/>
    <w:rsid w:val="00D37E99"/>
    <w:rsid w:val="00D400F5"/>
    <w:rsid w:val="00D40CBB"/>
    <w:rsid w:val="00D42F87"/>
    <w:rsid w:val="00D4413A"/>
    <w:rsid w:val="00D7690C"/>
    <w:rsid w:val="00D86C60"/>
    <w:rsid w:val="00D86CAA"/>
    <w:rsid w:val="00D92815"/>
    <w:rsid w:val="00D92C71"/>
    <w:rsid w:val="00D94473"/>
    <w:rsid w:val="00D94971"/>
    <w:rsid w:val="00DA3C5A"/>
    <w:rsid w:val="00DA7F3F"/>
    <w:rsid w:val="00DB40C5"/>
    <w:rsid w:val="00DC329F"/>
    <w:rsid w:val="00DC5DA7"/>
    <w:rsid w:val="00DD0088"/>
    <w:rsid w:val="00DD0D6C"/>
    <w:rsid w:val="00DD12E5"/>
    <w:rsid w:val="00DD36B8"/>
    <w:rsid w:val="00DD6B4D"/>
    <w:rsid w:val="00DE359E"/>
    <w:rsid w:val="00DE369A"/>
    <w:rsid w:val="00DF0B13"/>
    <w:rsid w:val="00DF5960"/>
    <w:rsid w:val="00E07A52"/>
    <w:rsid w:val="00E158FE"/>
    <w:rsid w:val="00E206A4"/>
    <w:rsid w:val="00E20C2C"/>
    <w:rsid w:val="00E22ADE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92373"/>
    <w:rsid w:val="00EA344E"/>
    <w:rsid w:val="00EA6232"/>
    <w:rsid w:val="00EB44E3"/>
    <w:rsid w:val="00EB58CC"/>
    <w:rsid w:val="00EC0E3A"/>
    <w:rsid w:val="00EC3465"/>
    <w:rsid w:val="00EC59A6"/>
    <w:rsid w:val="00EE01B6"/>
    <w:rsid w:val="00EE0EF5"/>
    <w:rsid w:val="00EE27F1"/>
    <w:rsid w:val="00EE3F39"/>
    <w:rsid w:val="00EF0DC9"/>
    <w:rsid w:val="00EF58C5"/>
    <w:rsid w:val="00F033B5"/>
    <w:rsid w:val="00F17CB0"/>
    <w:rsid w:val="00F209D1"/>
    <w:rsid w:val="00F2107E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6715"/>
    <w:rsid w:val="00F9671E"/>
    <w:rsid w:val="00FA73AA"/>
    <w:rsid w:val="00FA7B4C"/>
    <w:rsid w:val="00FC3439"/>
    <w:rsid w:val="00FD2FAB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A308C90BF7C9F4054132E46A46E49AD0B6295C7775C24C2EB558A6A8P1s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18734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15</cp:revision>
  <cp:lastPrinted>2020-02-13T11:55:00Z</cp:lastPrinted>
  <dcterms:created xsi:type="dcterms:W3CDTF">2020-02-17T11:00:00Z</dcterms:created>
  <dcterms:modified xsi:type="dcterms:W3CDTF">2020-08-20T11:40:00Z</dcterms:modified>
</cp:coreProperties>
</file>